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21" w:rsidRPr="00036E21" w:rsidRDefault="00036E21" w:rsidP="00036E21">
      <w:pPr>
        <w:tabs>
          <w:tab w:val="left" w:pos="7260"/>
        </w:tabs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Calibri" w:eastAsia="Calibri" w:hAnsi="Calibri" w:cs="Times New Roman"/>
          <w:color w:val="00000A"/>
        </w:rPr>
        <w:object w:dxaOrig="612" w:dyaOrig="816">
          <v:shape id="ole_rId2" o:spid="_x0000_i1025" style="width:54.6pt;height:1in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05413048" r:id="rId6"/>
        </w:object>
      </w:r>
    </w:p>
    <w:p w:rsidR="00036E21" w:rsidRPr="00036E21" w:rsidRDefault="00036E21" w:rsidP="00036E21">
      <w:pPr>
        <w:tabs>
          <w:tab w:val="left" w:pos="72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036E21" w:rsidRPr="00036E21" w:rsidRDefault="00036E21" w:rsidP="00036E21">
      <w:pPr>
        <w:tabs>
          <w:tab w:val="left" w:pos="72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АДМИНИСТРАЦИЯ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САРАТОВСКОЙ ОБЛАСТИ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proofErr w:type="gramStart"/>
      <w:r w:rsidRPr="00036E21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П</w:t>
      </w:r>
      <w:proofErr w:type="gramEnd"/>
      <w:r w:rsidRPr="00036E21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 xml:space="preserve"> О С Т А Н О В Л Е Н И Е</w:t>
      </w:r>
    </w:p>
    <w:p w:rsidR="00036E21" w:rsidRPr="00036E21" w:rsidRDefault="00036E21" w:rsidP="00036E21">
      <w:pPr>
        <w:tabs>
          <w:tab w:val="left" w:pos="76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ab/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от 2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8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января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 202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года № 2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/2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036E21" w:rsidRPr="00036E21" w:rsidRDefault="00036E21" w:rsidP="00036E21">
      <w:pPr>
        <w:suppressAutoHyphens/>
        <w:spacing w:after="0" w:line="240" w:lineRule="auto"/>
        <w:ind w:right="2549"/>
        <w:rPr>
          <w:rFonts w:ascii="Calibri" w:eastAsia="Calibri" w:hAnsi="Calibri" w:cs="Times New Roman"/>
          <w:color w:val="00000A"/>
        </w:rPr>
      </w:pPr>
      <w:bookmarkStart w:id="0" w:name="__DdeLink__1407_1172553207"/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Об утверждении муниципальной программы 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«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»</w:t>
      </w:r>
      <w:bookmarkEnd w:id="0"/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br/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Calibri" w:eastAsia="Calibri" w:hAnsi="Calibri" w:cs="Times New Roman"/>
          <w:b/>
          <w:color w:val="00000A"/>
        </w:rPr>
        <w:tab/>
      </w: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целях содействия развитию малого и среднего предпринимательства </w:t>
      </w:r>
      <w:proofErr w:type="gramStart"/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>на территории Клинцовского муниципального образования,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Федерации», руководствуясь Уставом 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ПОСТАНОВЛЯЕТ:</w:t>
      </w:r>
      <w:proofErr w:type="gramEnd"/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>1. Утвердить м</w:t>
      </w:r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униципальную программу «</w:t>
      </w: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</w:t>
      </w:r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» </w:t>
      </w:r>
      <w:proofErr w:type="gramStart"/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согласно приложени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я</w:t>
      </w:r>
      <w:proofErr w:type="gramEnd"/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2. 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 xml:space="preserve">Настоящее постановление обнародовать в соответствии с установленным порядком и разместить  на официальном сайте администрации Клинцовского муниципального образования </w:t>
      </w:r>
      <w:r w:rsidR="00B47E43">
        <w:rPr>
          <w:rFonts w:ascii="Times New Roman" w:eastAsia="Times New Roman" w:hAnsi="Times New Roman" w:cs="Times New Roman"/>
          <w:color w:val="00000A"/>
          <w:sz w:val="28"/>
        </w:rPr>
        <w:t xml:space="preserve">Пугачевского муниципального района Саратовской области 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 xml:space="preserve">в информационно-коммуникационной  сети </w:t>
      </w:r>
      <w:r w:rsidR="00B47E43">
        <w:rPr>
          <w:rFonts w:ascii="Times New Roman" w:eastAsia="Times New Roman" w:hAnsi="Times New Roman" w:cs="Times New Roman"/>
          <w:color w:val="00000A"/>
          <w:sz w:val="28"/>
        </w:rPr>
        <w:t>«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>Интернет</w:t>
      </w:r>
      <w:r w:rsidR="00B47E43">
        <w:rPr>
          <w:rFonts w:ascii="Times New Roman" w:eastAsia="Times New Roman" w:hAnsi="Times New Roman" w:cs="Times New Roman"/>
          <w:color w:val="00000A"/>
          <w:sz w:val="28"/>
        </w:rPr>
        <w:t>»</w:t>
      </w:r>
      <w:bookmarkStart w:id="1" w:name="_GoBack"/>
      <w:bookmarkEnd w:id="1"/>
      <w:r w:rsidR="00351C37">
        <w:rPr>
          <w:rFonts w:ascii="Times New Roman" w:eastAsia="Times New Roman" w:hAnsi="Times New Roman" w:cs="Times New Roman"/>
          <w:color w:val="00000A"/>
          <w:sz w:val="28"/>
        </w:rPr>
        <w:t>.</w:t>
      </w:r>
      <w:r w:rsidRPr="00036E21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036E21">
        <w:rPr>
          <w:rFonts w:ascii="Times New Roman" w:eastAsia="Times New Roman" w:hAnsi="Times New Roman" w:cs="Times New Roman"/>
          <w:color w:val="00000A"/>
          <w:sz w:val="28"/>
        </w:rPr>
        <w:t>3. Настоящее постановление вступает в силу со дня его официального опубликования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 xml:space="preserve"> (обнародования)</w:t>
      </w:r>
      <w:r w:rsidRPr="00036E21">
        <w:rPr>
          <w:rFonts w:ascii="Times New Roman" w:eastAsia="Times New Roman" w:hAnsi="Times New Roman" w:cs="Times New Roman"/>
          <w:color w:val="00000A"/>
          <w:sz w:val="28"/>
        </w:rPr>
        <w:t xml:space="preserve">. </w:t>
      </w:r>
    </w:p>
    <w:p w:rsidR="00351C37" w:rsidRDefault="00351C37" w:rsidP="00036E2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036E21" w:rsidRPr="00036E21" w:rsidRDefault="00036E21" w:rsidP="00036E21">
      <w:pPr>
        <w:suppressAutoHyphens/>
        <w:spacing w:after="0" w:line="240" w:lineRule="auto"/>
        <w:ind w:firstLine="567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Г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лава Клинцовского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</w:p>
    <w:p w:rsidR="00036E21" w:rsidRPr="00036E21" w:rsidRDefault="00036E21" w:rsidP="00036E2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муниципального образования 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proofErr w:type="spellStart"/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В.И.Дюкарев</w:t>
      </w:r>
      <w:proofErr w:type="spellEnd"/>
    </w:p>
    <w:p w:rsidR="00036E21" w:rsidRPr="00036E21" w:rsidRDefault="00036E21" w:rsidP="00036E21">
      <w:pPr>
        <w:suppressAutoHyphens/>
        <w:spacing w:after="0" w:line="240" w:lineRule="auto"/>
        <w:ind w:firstLine="567"/>
        <w:rPr>
          <w:rFonts w:ascii="Calibri" w:eastAsia="Calibri" w:hAnsi="Calibri" w:cs="Times New Roman"/>
          <w:color w:val="00000A"/>
        </w:rPr>
      </w:pPr>
    </w:p>
    <w:p w:rsidR="00351C37" w:rsidRDefault="00351C37" w:rsidP="00036E2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351C37" w:rsidRDefault="00351C37" w:rsidP="00036E2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Приложение к постановлению администрации </w:t>
      </w:r>
    </w:p>
    <w:p w:rsidR="00036E21" w:rsidRPr="00036E21" w:rsidRDefault="00036E21" w:rsidP="00036E21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Клинцовского </w:t>
      </w: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муниципального образования </w:t>
      </w:r>
    </w:p>
    <w:p w:rsidR="00036E21" w:rsidRPr="00036E21" w:rsidRDefault="00036E21" w:rsidP="00036E21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Пугачевского муниципального района </w:t>
      </w:r>
    </w:p>
    <w:p w:rsidR="00036E21" w:rsidRPr="00036E21" w:rsidRDefault="00036E21" w:rsidP="00036E21">
      <w:pPr>
        <w:suppressAutoHyphens/>
        <w:spacing w:after="0" w:line="240" w:lineRule="auto"/>
        <w:ind w:left="5387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Саратовской области</w:t>
      </w:r>
    </w:p>
    <w:p w:rsidR="00036E21" w:rsidRPr="00036E21" w:rsidRDefault="00036E21" w:rsidP="00036E21">
      <w:pPr>
        <w:suppressAutoHyphens/>
        <w:spacing w:after="0" w:line="240" w:lineRule="auto"/>
        <w:ind w:left="538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от  2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8</w:t>
      </w: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января</w:t>
      </w: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 202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2</w:t>
      </w: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года № 2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/2</w:t>
      </w: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 </w:t>
      </w: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</w:p>
    <w:p w:rsidR="00036E21" w:rsidRPr="00036E21" w:rsidRDefault="00036E21" w:rsidP="00036E21">
      <w:pPr>
        <w:suppressAutoHyphens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</w:p>
    <w:p w:rsidR="00036E21" w:rsidRPr="00036E21" w:rsidRDefault="00036E21" w:rsidP="00036E21">
      <w:pPr>
        <w:shd w:val="clear" w:color="auto" w:fill="FFFFFF"/>
        <w:suppressAutoHyphens/>
        <w:jc w:val="center"/>
        <w:rPr>
          <w:rFonts w:ascii="Times New Roman" w:eastAsia="Calibri" w:hAnsi="Times New Roman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37"/>
          <w:szCs w:val="37"/>
        </w:rPr>
        <w:t>МУНИЦИПАЛЬНАЯ ПРОГРАММА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«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Развитие малого и среднего предпринимательства 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на территории Клинцовского муниципального образования 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Пугачевского муниципального района Саратовской области 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</w:t>
      </w:r>
    </w:p>
    <w:p w:rsidR="00036E21" w:rsidRPr="00036E21" w:rsidRDefault="00036E21" w:rsidP="00036E21">
      <w:pPr>
        <w:suppressAutoHyphens/>
        <w:spacing w:after="0"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г.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lastRenderedPageBreak/>
        <w:t>Муниципальная Программа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br/>
        <w:t>«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Развитие малого и среднего предпринимательства на территории Клинцовского муниципального образования 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Пугачевского муниципального района Саратовской области 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»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br/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Паспорт Муниципальной Программы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tbl>
      <w:tblPr>
        <w:tblW w:w="10065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40"/>
        <w:gridCol w:w="6725"/>
      </w:tblGrid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год» (далее – программа)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Заказчик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Администрация Клинцовского муниципального образования Пугачевского муниципального района Саратовской области 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Разработчики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Администрация Клинцовского муниципального образования Пугачевского муниципального района Саратовской области 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Цель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– Оптимизация системы государственной поддержки предпринимательства и обеспечение условий развития малого бизнеса в качестве одного из источников формирования местного бюджета, создания новых рабочих мест, развития территорий и секторов экономики, повышения уровня и качества жизни населения. 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Задачи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совершенствование нормативного правового регулирования предпринимательской деятельности и ее государственной поддержки;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устранение административных барьеров на пути развития предпринимательства;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разработка и внедрение прогрессивных </w:t>
            </w:r>
            <w:proofErr w:type="spellStart"/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кредитно</w:t>
            </w:r>
            <w:proofErr w:type="spellEnd"/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–финансовых и инвестиционных механизмов;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созданию и поддержка субъектов малого предпринимательства, предоставляющих бытовые услуги;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малого предпринимательства в сфере бытового обслуживания, развитие конкуренции на рынке бытовых услуг;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развитие малого предпринимательства в сфере инноваций и высоких технологий;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продвижение продукции субъектов малого предпринимательства на межрегиональный и международный рынок, поддержка </w:t>
            </w:r>
            <w:proofErr w:type="spellStart"/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-ярмарочной деятельности;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развитие взаимодействия субъектов малого предпринимательства, органов государственной власти, органов местного самоуправления и общественности;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обеспечение информационной поддержки субъектов малого и среднего предпринимательства.</w:t>
            </w:r>
          </w:p>
        </w:tc>
      </w:tr>
      <w:tr w:rsidR="00036E21" w:rsidRPr="00036E21" w:rsidTr="00036E21">
        <w:trPr>
          <w:trHeight w:val="616"/>
        </w:trPr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год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администрация Клинцовского муниципального образования Пугачевского муниципального района Саратовской области.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 xml:space="preserve">Объёмы и источники финансирования </w:t>
            </w: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сточники финансирования Программы: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средства местного бюджета –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 тыс. рублей.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Реализация мероприятий программы позволит достичь следующих результатов: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Cs w:val="20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недопущение снижения количества субъектов малого и среднего предпринимательства на территории Клинцовского муниципального образования;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 обеспечение стабилизации доли среднесписочной численности работников организаций, являющихся субъектами малого и среднего предпринимательства, 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среднесписочной численности работников всех предприятий и организаций</w:t>
            </w: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; 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 до 5 процентов ежегодно с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инвестиций в основной капитал организаций малого и среднего предпринимательства до 5 процентов ежегодно с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увеличение с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реднемесячной номинальной начисленной заработной платы работников</w:t>
            </w: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организаций, являющихся субъектами малого и среднего предпринимательства, до 10 процентов от существующего уровня текущего года;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снижение административных барьеров на пути развития деятельности субъектов малого и среднего предпринимательства;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стимулирование дополнительного притока финансовых средств в инновационную сферу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 xml:space="preserve">Организация управления реализацией программы и </w:t>
            </w:r>
            <w:proofErr w:type="gramStart"/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контроль за</w:t>
            </w:r>
            <w:proofErr w:type="gramEnd"/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 xml:space="preserve"> ходом ее выполнения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Текущий контроль осуществляется комиссией Совета Клинцовского муниципального образования Пугачевского муниципального района, администрацией Клинцовского муниципального образования Пугачевского муниципального района Саратовской области.</w:t>
            </w:r>
          </w:p>
        </w:tc>
      </w:tr>
    </w:tbl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:rsidR="00036E21" w:rsidRPr="00036E21" w:rsidRDefault="00036E21" w:rsidP="00036E21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 Общие положения</w:t>
      </w:r>
    </w:p>
    <w:p w:rsidR="00036E21" w:rsidRPr="00036E21" w:rsidRDefault="00036E21" w:rsidP="00036E21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Cs w:val="20"/>
          <w:lang w:eastAsia="ru-RU"/>
        </w:rPr>
      </w:pPr>
      <w:proofErr w:type="gramStart"/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№209-ФЗ «О развитии малого и среднего предпринимательства в Российской Федерации», Законом Саратовской области от 01.10.2007г. № 200-ЗСО «О развитии малого и среднего предпринимательства в Саратовской области 2008-2010 годы», руководствуясь Уставом Клинцовского муниципального образования. </w:t>
      </w:r>
      <w:proofErr w:type="gramEnd"/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Cs w:val="20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Программа определяет перечень мероприятий, направленных на достижение целей и реализацию задач в области развития малого и среднего предпринимательства на территории Клинцовского муниципального образования, объемы и источники их финансирования, исполнителей мероприятий Программы, показатели результативности деятельности.</w:t>
      </w:r>
    </w:p>
    <w:p w:rsidR="00036E21" w:rsidRPr="00036E21" w:rsidRDefault="00036E21" w:rsidP="00036E21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Cs w:val="20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разработана с учетом  основных приоритетов социально-экономического развития Саратовской области, целей и задач, определенных муниципальной целевой программой дополнительных мероприятий, направленных на снижение напряженности на </w:t>
      </w: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рынке труда, а также с учетом целей и направлений развития Клинцовского муниципального образования.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2. Содержание проблемы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Развитие малого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Факторы, определяющие особую роль малого предпринимательства в условиях рыночной системы хозяйствования: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энергичное развитие сектора малого бизнеса может быть единственным источником реальной реструктуризации общества, обеспечивающей переход всего хозяйства страны на рельсы эффективно работающей в интересах всего населения рыночной экономики;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развитие малого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занятие малым бизнесом является не только источником сре</w:t>
      </w:r>
      <w:proofErr w:type="gramStart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дств к с</w:t>
      </w:r>
      <w:proofErr w:type="gramEnd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уществованию, но и позволяет наиболее полно раскрыть внутренний потенциал личности;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наличие со стороны сектора малого бизнеса большого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массовое развитие малого предпринимательства способствует изменению общественной психологии и жизненных ориентиров основной массы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Основными причинами, препятствующими развитию малого предпринимательства, остаются: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несовершенство и нестабильность нормативного правового регулирования;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административные барьеры;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низкая эффективность реализации антимонопольного законодательства;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недостаточное развитие инфраструктуры поддержки субъектов малого предпринимательства в муниципальном образовании;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недостаточная эффективность функционирования областной системы обучения и консультирования малого бизнеса;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недоступность финансовых ресурсов;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недостаточное информационное обеспечение по широкому спектру предпринимательской деятельности.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Сложившаяся ситуация в этом секторе экономики требует совершенствования государственной политики поддержки и развития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proofErr w:type="gramStart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на территории Клинцовского муниципального образования возможно только на основе целенаправленной работы на местах по созданию благоприятных условий для развития бизнеса путем оказания комплексной и адресной поддержки субъектам малого предпринимательства в различных направлениях - информационном, обучающем, консультационном, научно-техническом, технологическом, финансовом, имущественном, оказания целого спектра деловых услуг, налаживания деловых контактов и кооперации, а также</w:t>
      </w:r>
      <w:proofErr w:type="gramEnd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 других аспектах, коллективная потребность в которых может возникнуть у предпринимателей.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Основным инструментом реализации государственной политики по поддержке малого предпринимательства на среднесрочную перспективу является муниципальная программа «Развития малого предпринимательства на территории </w:t>
      </w:r>
      <w:proofErr w:type="spellStart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Клинцовскогомуниципального</w:t>
      </w:r>
      <w:proofErr w:type="spellEnd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образования Пугачевского муниципального района Саратовской области на 202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год» (далее - Программа).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Программа представляет собой комплексный план действий по созданию благоприятной среды для развития малого предпринимательства на территории Клинцовского муниципального образования на основе расширения инфраструктуры поддержки.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3. Цели и задачи Программы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Целью -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Программы является оптимизация системы государственной поддержки предпринимательства и обеспечение условий развития малого бизнеса в качестве одного из источников формирования местного бюджета, создания новых рабочих мест, развития территорий и секторов экономики, повышения уровня и качества жизни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Комплекс мероприятий Программы, с одной стороны, базируется на результатах реализации программ поддержки предпринимательства в Саратовской области предшествующих периодов и продолжает реализацию начатых проектов, а с другой, - ставит новые задачи.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Задачи </w:t>
      </w: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Программы: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совершенствование нормативного правового регулирования предпринимательской деятельности и ее государственной поддержки;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устранение административных барьеров на пути развития предпринимательства;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разработка и внедрение прогрессивных кредитно-финансовых и инвестиционных механизмов;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созданию и поддержка субъектов малого предпринимательства, предоставляющих бытовые услуги;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малого предпринимательства в сфере бытового обслуживания, развитие конкуренции на рынке бытовых услуг;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малого предпринимательства в сфере инноваций и высоких технологий;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продвижение продукции субъектов малого предпринимательства на межрегиональный и международный рынок, поддержка </w:t>
      </w:r>
      <w:proofErr w:type="spellStart"/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выставочно</w:t>
      </w:r>
      <w:proofErr w:type="spellEnd"/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-ярмарочной деятельности;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развитие взаимодействия субъектов малого предпринимательства, органов государственной власти, органов местного самоуправления и общественности;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обеспечение информационной поддержки субъектов малого и среднего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Задачи решаются по следующим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направлениям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1. Формирование благоприятной внешней среды для развития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2. Совершенствование кредитно-финансовой и инвестиционной поддержки субъектов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3. Развитие инфраструктуры поддержки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4. Информационное обеспечение субъектов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5. Развитие малого предпринимательства в сфере бытового обслуживания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Мероприятия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по первому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«Формирование благоприятной внешней среды для развития малого предпринимательства» предусматривают совершенствование нормативного правового регулирования предпринимательской деятельности, устранение излишних административных барьеров на пути развития предпринимательства, формирование положительного имиджа малого предпринимательства в обществе, содействие деятельности общественных организаций.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 рамках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второго направления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«Совершенствование кредитно-финансовой и инвестиционной поддержки субъектов малого предпринимательства» планируется осуществить мероприятия по развитию системы гарантий субъектам малого предпринимательства при получении кредита, организации льготного кредитования субъектов малого предпринимательства в коммерческих банках с компенсацией части процентной ставки из областного бюджета. Передача в арендное пользование свободных площадей и мощностей объектов муниципальной собственности.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По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третьему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«Развитие инфраструктуры поддержки малого предпринимательства» планируется совершенствование деятельности инфраструктуры поддержки малого предпринимательства, обеспечение информационной и организационной поддержки субъектов малого предпринимательства по их участию в выставках и ярмарках.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четвертому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«Информационное обеспечение субъектов малого предпринимательства» предусмотрены мероприятия по совершенствованию системы экономико-статистического учета деятельности субъектов малого предпринимательства: организация и проведение обследований субъектов малого предпринимательства (по видам экономической деятельности) с целью формирования объективной информации о состоянии малого предпринимательства на территории Клинцовского муниципального образования и выработки механизмов более эффективной поддержки. Планируется проведение информационных семинаров, «круглых столов»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предпринимательства, осуществление информационного обмена опытом по поддержке малого предпринимательства с другими субъектами Российской Федерации.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пятому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Программы – «Развитие малого предпринимательства в сфере бытового обслуживания населения» предполагается реализовать следующие мероприятия: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- разработка нормативных правовых актов, обеспечивающих эффективное развитие сферы бытового обслуживания населения;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информационно-аналитическое обеспечение развития сферы бытового обслуживания населения;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развитие инфраструктуры сферы бытового обслуживания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4. Сроки реализации программы.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Реализация программы - в 202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год.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5. Ресурсное обеспечение Программы.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И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сточники финансирования Программы: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- средства местного бюджета –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0 тыс. рублей.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6. Механизм реализации Программы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Механизм реализации Программы - это система скоординированных по объему финансирования, срокам и ответственным исполнителям мероприятий, обеспечивающих достижение намеченных результатов.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Структура Программы представлена пятью направлениями развития малого предпринимательства и включает мероприятия по ее реализации, что обеспечивает комплексный подход и координацию работ всех участников Программы.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Главными приоритетами государственной политики по поддержке предпринимательства на территории Клинцовского муниципального образования на предстоящий период станут: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обеспечение полной и доступной информации о мероприятиях, направленных на развитие малого бизнеса;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гласность и публичная отчетность об использовании бюджетных средств, выделенных на поддержку малого предпринимательства, о деятельности объектов инфраструктуры поддержки.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Текущий контроль осуществляется комиссией Совета Клинцовского муниципального образования Пугачевского муниципального района и администрацией Клинцовского муниципального образования Пугачевского муниципального района.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Default="00036E21" w:rsidP="00036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 xml:space="preserve">7. Оценка эффективности программных мероприятий 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ходе реализации Программы предполагается достижение следующих результатов: 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увеличение числа рабочих мест за счет расширения производства на действующих и создания новых малых предприятий, обеспечение занятости социально незащищенных слоев населения;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увеличение объема налоговых поступлений в бюджеты всех уровней, создание условий для выхода малого бизнеса из сферы «теневой» экономики;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оказание содействия субъектам малого предпринимательства в предоставлении находящегося в государственной и муниципальной собственности имущества с целью увеличения отдачи от его использования; 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правовой среды и механизмов, обеспечивающих защиту имущественных и других прав субъектов малого предпринимательства, устранение административных барьеров;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обучающих, консультационных, финансовых и других объектов инфраструктуры поддержки предпринимательства;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привлечение дополнительных внебюджетных инвестиций в сектор малого предпринимательства;</w:t>
      </w:r>
    </w:p>
    <w:p w:rsidR="00036E21" w:rsidRPr="00036E21" w:rsidRDefault="00036E21" w:rsidP="00036E21">
      <w:pPr>
        <w:suppressAutoHyphens/>
        <w:spacing w:line="240" w:lineRule="auto"/>
        <w:rPr>
          <w:rFonts w:ascii="Calibri" w:eastAsia="Calibri" w:hAnsi="Calibri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изменение отраслевой структуры малого предпринимательства в сторону увеличения производства товаров и услуг</w:t>
      </w:r>
      <w:r w:rsidRPr="00036E21">
        <w:rPr>
          <w:rFonts w:ascii="Calibri" w:eastAsia="Calibri" w:hAnsi="Calibri" w:cs="Times New Roman"/>
          <w:color w:val="00000A"/>
          <w:sz w:val="24"/>
          <w:szCs w:val="24"/>
        </w:rPr>
        <w:t>.</w:t>
      </w:r>
    </w:p>
    <w:p w:rsidR="00036E21" w:rsidRPr="00036E21" w:rsidRDefault="00036E21" w:rsidP="00036E2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8. Источники и объемы финансирования программы на 202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2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год</w:t>
      </w:r>
    </w:p>
    <w:p w:rsidR="00036E21" w:rsidRPr="00036E21" w:rsidRDefault="00036E21" w:rsidP="00036E2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тыс. руб.</w:t>
      </w:r>
    </w:p>
    <w:tbl>
      <w:tblPr>
        <w:tblW w:w="9215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4"/>
        <w:gridCol w:w="2067"/>
        <w:gridCol w:w="948"/>
        <w:gridCol w:w="3386"/>
      </w:tblGrid>
      <w:tr w:rsidR="00036E21" w:rsidRPr="00036E21" w:rsidTr="00036E21">
        <w:trPr>
          <w:trHeight w:val="276"/>
        </w:trPr>
        <w:tc>
          <w:tcPr>
            <w:tcW w:w="29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9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A"/>
              </w:rPr>
              <w:t>В том числе погодам</w:t>
            </w:r>
          </w:p>
        </w:tc>
      </w:tr>
      <w:tr w:rsidR="00036E21" w:rsidRPr="00036E21" w:rsidTr="00036E21">
        <w:trPr>
          <w:trHeight w:val="28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36E21" w:rsidRPr="00036E21" w:rsidRDefault="00036E21" w:rsidP="00036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36E21" w:rsidRPr="00036E21" w:rsidRDefault="00036E21" w:rsidP="00036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036E21" w:rsidRPr="00036E21" w:rsidRDefault="00036E21" w:rsidP="00036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36E21" w:rsidRPr="00036E21" w:rsidTr="00036E21"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Формирование благоприятной внешней среды для развития малого предпринимательства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036E21" w:rsidRPr="00036E21" w:rsidRDefault="00036E21" w:rsidP="00036E21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(приобретение баннеров, стойка с баннером, информационный стенд и прочее…)</w:t>
            </w:r>
          </w:p>
        </w:tc>
      </w:tr>
    </w:tbl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41288" w:rsidRDefault="00D41288"/>
    <w:sectPr w:rsidR="00D4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21"/>
    <w:rsid w:val="00036E21"/>
    <w:rsid w:val="00351C37"/>
    <w:rsid w:val="007C1CC7"/>
    <w:rsid w:val="00B47E43"/>
    <w:rsid w:val="00B72CB3"/>
    <w:rsid w:val="00D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2022-02-03T13:04:00Z</cp:lastPrinted>
  <dcterms:created xsi:type="dcterms:W3CDTF">2022-02-02T13:03:00Z</dcterms:created>
  <dcterms:modified xsi:type="dcterms:W3CDTF">2022-02-03T13:04:00Z</dcterms:modified>
</cp:coreProperties>
</file>